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caption</w:t>
      </w:r>
    </w:p>
    <w:p>
      <w:r>
        <w:drawing>
          <wp:inline>
            <wp:extent cx="1143000" cy="762000"/>
            <wp:docPr id="1" name="Specimen picture 1" descr="Specimen chart"/>
            <a:graphic>
              <a:graphicData uri="http://schemas.openxmlformats.org/drawingml/2006/picture">
                <pic:pic>
                  <pic:nvPicPr>
                    <pic:cNvPr id="1" name="specimen.png"/>
                    <pic:cNvPicPr/>
                  </pic:nvPicPr>
                  <pic:blipFill>
                    <a:blip r:embed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Figure </w:t>
      </w:r>
      <w:fldSimple w:instr=" SEQ Figure \* ARABIC ">
        <w:r>
          <w:t>1</w:t>
        </w:r>
      </w:fldSimple>
      <w:r>
        <w:t xml:space="preserve">: Specimen chart of quarterly gamma values</w:t>
      </w:r>
    </w:p>
    <w:p>
      <w:r>
        <w:t xml:space="preserve">Body text after the caption.</w:t>
      </w:r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" Type="http://schemas.openxmlformats.org/officeDocument/2006/relationships/image" Target="media/specimen.png"/></Relationships>
</file>